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314F" w14:textId="77777777" w:rsidR="006A1858" w:rsidRDefault="006A1858" w:rsidP="006A1858">
      <w:pPr>
        <w:jc w:val="center"/>
        <w:rPr>
          <w:b/>
        </w:rPr>
      </w:pPr>
      <w:bookmarkStart w:id="0" w:name="_GoBack"/>
      <w:bookmarkEnd w:id="0"/>
      <w:r w:rsidRPr="006A1858">
        <w:rPr>
          <w:b/>
          <w:noProof/>
        </w:rPr>
        <w:drawing>
          <wp:inline distT="0" distB="0" distL="0" distR="0" wp14:anchorId="6178BCFC" wp14:editId="6FF6EF9A">
            <wp:extent cx="2613660"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660" cy="944880"/>
                    </a:xfrm>
                    <a:prstGeom prst="rect">
                      <a:avLst/>
                    </a:prstGeom>
                    <a:noFill/>
                    <a:ln>
                      <a:noFill/>
                    </a:ln>
                  </pic:spPr>
                </pic:pic>
              </a:graphicData>
            </a:graphic>
          </wp:inline>
        </w:drawing>
      </w:r>
    </w:p>
    <w:p w14:paraId="4B445800" w14:textId="77777777" w:rsidR="002F786E" w:rsidRPr="002F645A" w:rsidRDefault="002F786E">
      <w:pPr>
        <w:rPr>
          <w:b/>
        </w:rPr>
      </w:pPr>
      <w:r w:rsidRPr="002F786E">
        <w:rPr>
          <w:b/>
        </w:rPr>
        <w:t>For Immediate Release</w:t>
      </w:r>
      <w:r w:rsidR="002F645A">
        <w:rPr>
          <w:b/>
        </w:rPr>
        <w:br/>
      </w:r>
      <w:r w:rsidR="000E2F38">
        <w:t>March 24</w:t>
      </w:r>
      <w:r>
        <w:t xml:space="preserve">, 2019 </w:t>
      </w:r>
    </w:p>
    <w:p w14:paraId="17F0C99A" w14:textId="77777777" w:rsidR="002F786E" w:rsidRPr="006A1858" w:rsidRDefault="002F786E" w:rsidP="002F786E">
      <w:pPr>
        <w:spacing w:after="0"/>
        <w:jc w:val="right"/>
        <w:rPr>
          <w:b/>
        </w:rPr>
      </w:pPr>
      <w:r w:rsidRPr="006A1858">
        <w:rPr>
          <w:b/>
        </w:rPr>
        <w:t xml:space="preserve">Contact: </w:t>
      </w:r>
    </w:p>
    <w:p w14:paraId="0B72C502" w14:textId="77777777" w:rsidR="002F786E" w:rsidRDefault="002F786E" w:rsidP="002F786E">
      <w:pPr>
        <w:spacing w:after="0"/>
        <w:jc w:val="right"/>
      </w:pPr>
      <w:r>
        <w:t>Kimberly Ellis, SVP Comms &amp; Marketing</w:t>
      </w:r>
    </w:p>
    <w:p w14:paraId="4CFC89B6" w14:textId="77777777" w:rsidR="002F786E" w:rsidRDefault="00FE11F7" w:rsidP="002F786E">
      <w:pPr>
        <w:spacing w:after="0"/>
        <w:jc w:val="right"/>
      </w:pPr>
      <w:hyperlink r:id="rId7" w:history="1">
        <w:r w:rsidR="002F786E" w:rsidRPr="0094136B">
          <w:rPr>
            <w:rStyle w:val="Hyperlink"/>
          </w:rPr>
          <w:t>Kellis@svlg.org</w:t>
        </w:r>
      </w:hyperlink>
      <w:proofErr w:type="gramStart"/>
      <w:r w:rsidR="002F786E">
        <w:t>|(</w:t>
      </w:r>
      <w:proofErr w:type="gramEnd"/>
      <w:r w:rsidR="002F786E">
        <w:t>408) 501-7853</w:t>
      </w:r>
    </w:p>
    <w:p w14:paraId="0F3BD680" w14:textId="77777777" w:rsidR="002F786E" w:rsidRDefault="002F786E" w:rsidP="002F786E">
      <w:pPr>
        <w:spacing w:after="0"/>
        <w:jc w:val="right"/>
      </w:pPr>
      <w:r>
        <w:t xml:space="preserve">Pam Kelly, Sr. Comms Mgr. </w:t>
      </w:r>
    </w:p>
    <w:p w14:paraId="05A095A4" w14:textId="77777777" w:rsidR="002F786E" w:rsidRDefault="00FE11F7" w:rsidP="002F786E">
      <w:pPr>
        <w:spacing w:after="0"/>
        <w:jc w:val="right"/>
      </w:pPr>
      <w:hyperlink r:id="rId8" w:history="1">
        <w:r w:rsidR="002F786E" w:rsidRPr="0094136B">
          <w:rPr>
            <w:rStyle w:val="Hyperlink"/>
          </w:rPr>
          <w:t>Pkelly@svlg.org</w:t>
        </w:r>
      </w:hyperlink>
      <w:r w:rsidR="006A1858">
        <w:t xml:space="preserve"> </w:t>
      </w:r>
      <w:proofErr w:type="gramStart"/>
      <w:r w:rsidR="006A1858">
        <w:t>|</w:t>
      </w:r>
      <w:r w:rsidR="002F786E">
        <w:t>(</w:t>
      </w:r>
      <w:proofErr w:type="gramEnd"/>
      <w:r w:rsidR="002F786E">
        <w:t>408) 501-7879</w:t>
      </w:r>
    </w:p>
    <w:p w14:paraId="7C995D56" w14:textId="77777777" w:rsidR="002F786E" w:rsidRDefault="002F786E"/>
    <w:p w14:paraId="229EA541" w14:textId="77777777" w:rsidR="002F786E" w:rsidRPr="006A1858" w:rsidRDefault="00D853BF" w:rsidP="003B781E">
      <w:pPr>
        <w:jc w:val="center"/>
        <w:rPr>
          <w:b/>
          <w:sz w:val="28"/>
          <w:szCs w:val="28"/>
        </w:rPr>
      </w:pPr>
      <w:r>
        <w:rPr>
          <w:b/>
          <w:sz w:val="28"/>
          <w:szCs w:val="28"/>
        </w:rPr>
        <w:t>“</w:t>
      </w:r>
      <w:r w:rsidR="002F786E" w:rsidRPr="006A1858">
        <w:rPr>
          <w:b/>
          <w:sz w:val="28"/>
          <w:szCs w:val="28"/>
        </w:rPr>
        <w:t>Silicon Valley Poll</w:t>
      </w:r>
      <w:r>
        <w:rPr>
          <w:b/>
          <w:sz w:val="28"/>
          <w:szCs w:val="28"/>
        </w:rPr>
        <w:t>”</w:t>
      </w:r>
      <w:r w:rsidR="002F786E" w:rsidRPr="006A1858">
        <w:rPr>
          <w:b/>
          <w:sz w:val="28"/>
          <w:szCs w:val="28"/>
        </w:rPr>
        <w:t xml:space="preserve"> Tells Us More Than 40 Percent of Residents Are Considering Moving Out of the Bay Area</w:t>
      </w:r>
      <w:r w:rsidR="00483948">
        <w:rPr>
          <w:b/>
          <w:sz w:val="28"/>
          <w:szCs w:val="28"/>
        </w:rPr>
        <w:t xml:space="preserve"> – Two</w:t>
      </w:r>
      <w:r w:rsidR="003B781E" w:rsidRPr="006A1858">
        <w:rPr>
          <w:b/>
          <w:sz w:val="28"/>
          <w:szCs w:val="28"/>
        </w:rPr>
        <w:t xml:space="preserve"> Reason</w:t>
      </w:r>
      <w:r w:rsidR="00483948">
        <w:rPr>
          <w:b/>
          <w:sz w:val="28"/>
          <w:szCs w:val="28"/>
        </w:rPr>
        <w:t>s</w:t>
      </w:r>
      <w:r w:rsidR="003B781E" w:rsidRPr="006A1858">
        <w:rPr>
          <w:b/>
          <w:sz w:val="28"/>
          <w:szCs w:val="28"/>
        </w:rPr>
        <w:t xml:space="preserve"> </w:t>
      </w:r>
      <w:r w:rsidR="002F786E" w:rsidRPr="006A1858">
        <w:rPr>
          <w:b/>
          <w:sz w:val="28"/>
          <w:szCs w:val="28"/>
        </w:rPr>
        <w:t>May Come as a Surprise</w:t>
      </w:r>
    </w:p>
    <w:p w14:paraId="3B366F94" w14:textId="77777777" w:rsidR="003B781E" w:rsidRDefault="002F786E">
      <w:r w:rsidRPr="003B781E">
        <w:rPr>
          <w:b/>
        </w:rPr>
        <w:t>San Jose, CA</w:t>
      </w:r>
      <w:r>
        <w:t xml:space="preserve"> </w:t>
      </w:r>
      <w:proofErr w:type="gramStart"/>
      <w:r>
        <w:t>-  One</w:t>
      </w:r>
      <w:proofErr w:type="gramEnd"/>
      <w:r>
        <w:t xml:space="preserve"> thing is clear fro</w:t>
      </w:r>
      <w:r w:rsidR="00483948">
        <w:t>m this year’s</w:t>
      </w:r>
      <w:r>
        <w:t xml:space="preserve"> annual Silicon Valley Poll</w:t>
      </w:r>
      <w:r w:rsidR="003B781E">
        <w:t xml:space="preserve"> – People are thinking twice about staying in the Bay Area an</w:t>
      </w:r>
      <w:r w:rsidR="00391B0E">
        <w:t xml:space="preserve">d are looking for answers to perceived </w:t>
      </w:r>
      <w:r w:rsidR="003B781E">
        <w:t>pressing problems.  44 percent of those polled in five counties say they are li</w:t>
      </w:r>
      <w:r w:rsidR="00391B0E">
        <w:t>kely to move out of the B</w:t>
      </w:r>
      <w:r w:rsidR="003B781E">
        <w:t>ay Area in the next few years</w:t>
      </w:r>
      <w:r w:rsidR="00D853BF">
        <w:t xml:space="preserve">, but only six </w:t>
      </w:r>
      <w:r w:rsidR="003B781E">
        <w:t>percent say they have definite plans to leave</w:t>
      </w:r>
      <w:r w:rsidR="00934350">
        <w:t xml:space="preserve"> in 2019</w:t>
      </w:r>
      <w:r w:rsidR="003B781E">
        <w:t xml:space="preserve">. </w:t>
      </w:r>
    </w:p>
    <w:p w14:paraId="326346C0" w14:textId="77777777" w:rsidR="00391B0E" w:rsidRDefault="003B781E">
      <w:r>
        <w:t>So</w:t>
      </w:r>
      <w:r w:rsidR="0066356A">
        <w:t xml:space="preserve">, why are they </w:t>
      </w:r>
      <w:r>
        <w:t xml:space="preserve">considering a future move? Among those </w:t>
      </w:r>
      <w:r w:rsidR="00391B0E">
        <w:t>contemplating a move</w:t>
      </w:r>
      <w:r w:rsidR="00413EB3">
        <w:t>,</w:t>
      </w:r>
      <w:r w:rsidR="00391B0E">
        <w:t xml:space="preserve"> 77 percent</w:t>
      </w:r>
      <w:r>
        <w:t xml:space="preserve"> say </w:t>
      </w:r>
      <w:r w:rsidR="00391B0E">
        <w:t xml:space="preserve">high housing costs and 76 percent say </w:t>
      </w:r>
      <w:r w:rsidR="0066356A">
        <w:t xml:space="preserve">it’s </w:t>
      </w:r>
      <w:r w:rsidR="00391B0E">
        <w:t xml:space="preserve">the cost of living. Other factors </w:t>
      </w:r>
      <w:r w:rsidR="00934350">
        <w:t xml:space="preserve">feeding discontent </w:t>
      </w:r>
      <w:r w:rsidR="00391B0E">
        <w:t xml:space="preserve">include traffic congestion at 51 percent, </w:t>
      </w:r>
      <w:r w:rsidR="00D853BF">
        <w:t xml:space="preserve">with </w:t>
      </w:r>
      <w:r w:rsidR="00391B0E">
        <w:t>quality</w:t>
      </w:r>
      <w:r w:rsidR="00201A9F">
        <w:t xml:space="preserve"> of life coming in at</w:t>
      </w:r>
      <w:r w:rsidR="00934350">
        <w:t xml:space="preserve"> </w:t>
      </w:r>
      <w:r w:rsidR="00391B0E">
        <w:t>45 percent</w:t>
      </w:r>
      <w:r w:rsidR="00D853BF">
        <w:t xml:space="preserve"> and taxes </w:t>
      </w:r>
      <w:r w:rsidR="00201A9F">
        <w:t xml:space="preserve">not far behind at </w:t>
      </w:r>
      <w:r w:rsidR="00391B0E">
        <w:t xml:space="preserve">41 percent. </w:t>
      </w:r>
    </w:p>
    <w:p w14:paraId="259E0041" w14:textId="77777777" w:rsidR="00CC0453" w:rsidRPr="00CC0453" w:rsidRDefault="00CC0453" w:rsidP="00CC0453">
      <w:r>
        <w:rPr>
          <w:rFonts w:ascii="Calibri" w:hAnsi="Calibri" w:cs="Calibri"/>
          <w:color w:val="222222"/>
          <w:shd w:val="clear" w:color="auto" w:fill="FFFFFF"/>
        </w:rPr>
        <w:t xml:space="preserve">“We need to take big, bold, transformative steps before we lose the talented people who keep the engine of Silicon Valley, and our innovation economy, running,” said Carl Guardino of the Silicon Valley Leadership Group. With the leadership of Governor Newsom, and our own advocacy at The Leadership Group, we </w:t>
      </w:r>
      <w:r w:rsidR="002F251C">
        <w:rPr>
          <w:rFonts w:ascii="Calibri" w:hAnsi="Calibri" w:cs="Calibri"/>
          <w:color w:val="222222"/>
          <w:shd w:val="clear" w:color="auto" w:fill="FFFFFF"/>
        </w:rPr>
        <w:t xml:space="preserve">believe that </w:t>
      </w:r>
      <w:r>
        <w:rPr>
          <w:rFonts w:ascii="Calibri" w:hAnsi="Calibri" w:cs="Calibri"/>
          <w:color w:val="222222"/>
          <w:shd w:val="clear" w:color="auto" w:fill="FFFFFF"/>
        </w:rPr>
        <w:t>voters in 2020, will have real, substantive choices to help solve some of the most pressing transportation and housing challenges facing our region and state today”.</w:t>
      </w:r>
      <w:r>
        <w:rPr>
          <w:rFonts w:ascii="Calibri" w:hAnsi="Calibri" w:cs="Calibri"/>
          <w:color w:val="222222"/>
          <w:shd w:val="clear" w:color="auto" w:fill="FFFFFF"/>
        </w:rPr>
        <w:br/>
      </w:r>
    </w:p>
    <w:p w14:paraId="397C828C" w14:textId="77777777" w:rsidR="00391B0E" w:rsidRPr="0066356A" w:rsidRDefault="00413EB3" w:rsidP="00CC0453">
      <w:pPr>
        <w:rPr>
          <w:b/>
        </w:rPr>
      </w:pPr>
      <w:r w:rsidRPr="0066356A">
        <w:rPr>
          <w:b/>
        </w:rPr>
        <w:t xml:space="preserve">Figure 1: </w:t>
      </w:r>
      <w:r w:rsidR="00391B0E" w:rsidRPr="0066356A">
        <w:rPr>
          <w:b/>
        </w:rPr>
        <w:t>Reason</w:t>
      </w:r>
      <w:r w:rsidRPr="0066356A">
        <w:rPr>
          <w:b/>
        </w:rPr>
        <w:t>s</w:t>
      </w:r>
      <w:r w:rsidR="00391B0E" w:rsidRPr="0066356A">
        <w:rPr>
          <w:b/>
        </w:rPr>
        <w:t xml:space="preserve"> to Move Away </w:t>
      </w:r>
    </w:p>
    <w:tbl>
      <w:tblPr>
        <w:tblStyle w:val="GridTable2-Accent5"/>
        <w:tblW w:w="0" w:type="auto"/>
        <w:tblLook w:val="04A0" w:firstRow="1" w:lastRow="0" w:firstColumn="1" w:lastColumn="0" w:noHBand="0" w:noVBand="1"/>
      </w:tblPr>
      <w:tblGrid>
        <w:gridCol w:w="1870"/>
        <w:gridCol w:w="1275"/>
        <w:gridCol w:w="1710"/>
        <w:gridCol w:w="1980"/>
      </w:tblGrid>
      <w:tr w:rsidR="00413EB3" w14:paraId="6EDF446D" w14:textId="77777777" w:rsidTr="00663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8A912E4" w14:textId="77777777" w:rsidR="00413EB3" w:rsidRDefault="00413EB3">
            <w:r>
              <w:t>Reason to Move Away</w:t>
            </w:r>
          </w:p>
        </w:tc>
        <w:tc>
          <w:tcPr>
            <w:tcW w:w="1275" w:type="dxa"/>
          </w:tcPr>
          <w:p w14:paraId="0946B376" w14:textId="77777777" w:rsidR="00413EB3" w:rsidRDefault="00413EB3">
            <w:pPr>
              <w:cnfStyle w:val="100000000000" w:firstRow="1" w:lastRow="0" w:firstColumn="0" w:lastColumn="0" w:oddVBand="0" w:evenVBand="0" w:oddHBand="0" w:evenHBand="0" w:firstRowFirstColumn="0" w:firstRowLastColumn="0" w:lastRowFirstColumn="0" w:lastRowLastColumn="0"/>
            </w:pPr>
            <w:r>
              <w:t xml:space="preserve">All Voters </w:t>
            </w:r>
          </w:p>
        </w:tc>
        <w:tc>
          <w:tcPr>
            <w:tcW w:w="1710" w:type="dxa"/>
          </w:tcPr>
          <w:p w14:paraId="785F6871" w14:textId="77777777" w:rsidR="00413EB3" w:rsidRDefault="00413EB3">
            <w:pPr>
              <w:cnfStyle w:val="100000000000" w:firstRow="1" w:lastRow="0" w:firstColumn="0" w:lastColumn="0" w:oddVBand="0" w:evenVBand="0" w:oddHBand="0" w:evenHBand="0" w:firstRowFirstColumn="0" w:firstRowLastColumn="0" w:lastRowFirstColumn="0" w:lastRowLastColumn="0"/>
            </w:pPr>
            <w:r>
              <w:t>Likely to Move Away in Next Few Years</w:t>
            </w:r>
          </w:p>
        </w:tc>
        <w:tc>
          <w:tcPr>
            <w:tcW w:w="1980" w:type="dxa"/>
          </w:tcPr>
          <w:p w14:paraId="7F36A830" w14:textId="77777777" w:rsidR="00413EB3" w:rsidRDefault="00413EB3">
            <w:pPr>
              <w:cnfStyle w:val="100000000000" w:firstRow="1" w:lastRow="0" w:firstColumn="0" w:lastColumn="0" w:oddVBand="0" w:evenVBand="0" w:oddHBand="0" w:evenHBand="0" w:firstRowFirstColumn="0" w:firstRowLastColumn="0" w:lastRowFirstColumn="0" w:lastRowLastColumn="0"/>
            </w:pPr>
            <w:r>
              <w:t>Definite Plans to Move Away in 2019</w:t>
            </w:r>
          </w:p>
        </w:tc>
      </w:tr>
      <w:tr w:rsidR="00413EB3" w14:paraId="05494BAD" w14:textId="77777777" w:rsidTr="00663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65107B5" w14:textId="77777777" w:rsidR="00413EB3" w:rsidRDefault="00413EB3">
            <w:r>
              <w:t>High housing costs</w:t>
            </w:r>
          </w:p>
        </w:tc>
        <w:tc>
          <w:tcPr>
            <w:tcW w:w="1275" w:type="dxa"/>
          </w:tcPr>
          <w:p w14:paraId="6DA152D7" w14:textId="77777777" w:rsidR="00413EB3" w:rsidRDefault="00413EB3">
            <w:pPr>
              <w:cnfStyle w:val="000000100000" w:firstRow="0" w:lastRow="0" w:firstColumn="0" w:lastColumn="0" w:oddVBand="0" w:evenVBand="0" w:oddHBand="1" w:evenHBand="0" w:firstRowFirstColumn="0" w:firstRowLastColumn="0" w:lastRowFirstColumn="0" w:lastRowLastColumn="0"/>
            </w:pPr>
            <w:r>
              <w:t>60%</w:t>
            </w:r>
          </w:p>
        </w:tc>
        <w:tc>
          <w:tcPr>
            <w:tcW w:w="1710" w:type="dxa"/>
          </w:tcPr>
          <w:p w14:paraId="60F3E2C3" w14:textId="77777777" w:rsidR="00413EB3" w:rsidRDefault="00413EB3">
            <w:pPr>
              <w:cnfStyle w:val="000000100000" w:firstRow="0" w:lastRow="0" w:firstColumn="0" w:lastColumn="0" w:oddVBand="0" w:evenVBand="0" w:oddHBand="1" w:evenHBand="0" w:firstRowFirstColumn="0" w:firstRowLastColumn="0" w:lastRowFirstColumn="0" w:lastRowLastColumn="0"/>
            </w:pPr>
            <w:r>
              <w:t>77%</w:t>
            </w:r>
          </w:p>
        </w:tc>
        <w:tc>
          <w:tcPr>
            <w:tcW w:w="1980" w:type="dxa"/>
          </w:tcPr>
          <w:p w14:paraId="074F38F9" w14:textId="77777777" w:rsidR="00413EB3" w:rsidRDefault="00413EB3">
            <w:pPr>
              <w:cnfStyle w:val="000000100000" w:firstRow="0" w:lastRow="0" w:firstColumn="0" w:lastColumn="0" w:oddVBand="0" w:evenVBand="0" w:oddHBand="1" w:evenHBand="0" w:firstRowFirstColumn="0" w:firstRowLastColumn="0" w:lastRowFirstColumn="0" w:lastRowLastColumn="0"/>
            </w:pPr>
            <w:r>
              <w:t>74%</w:t>
            </w:r>
          </w:p>
        </w:tc>
      </w:tr>
      <w:tr w:rsidR="00413EB3" w14:paraId="6E8FBE83" w14:textId="77777777" w:rsidTr="0066356A">
        <w:tc>
          <w:tcPr>
            <w:cnfStyle w:val="001000000000" w:firstRow="0" w:lastRow="0" w:firstColumn="1" w:lastColumn="0" w:oddVBand="0" w:evenVBand="0" w:oddHBand="0" w:evenHBand="0" w:firstRowFirstColumn="0" w:firstRowLastColumn="0" w:lastRowFirstColumn="0" w:lastRowLastColumn="0"/>
            <w:tcW w:w="1870" w:type="dxa"/>
          </w:tcPr>
          <w:p w14:paraId="67E8ED8F" w14:textId="77777777" w:rsidR="00413EB3" w:rsidRDefault="00413EB3">
            <w:r>
              <w:t>Cost of living, overall</w:t>
            </w:r>
          </w:p>
        </w:tc>
        <w:tc>
          <w:tcPr>
            <w:tcW w:w="1275" w:type="dxa"/>
          </w:tcPr>
          <w:p w14:paraId="6DEE6C40" w14:textId="77777777" w:rsidR="00413EB3" w:rsidRDefault="00413EB3">
            <w:pPr>
              <w:cnfStyle w:val="000000000000" w:firstRow="0" w:lastRow="0" w:firstColumn="0" w:lastColumn="0" w:oddVBand="0" w:evenVBand="0" w:oddHBand="0" w:evenHBand="0" w:firstRowFirstColumn="0" w:firstRowLastColumn="0" w:lastRowFirstColumn="0" w:lastRowLastColumn="0"/>
            </w:pPr>
            <w:r>
              <w:t>57%</w:t>
            </w:r>
          </w:p>
        </w:tc>
        <w:tc>
          <w:tcPr>
            <w:tcW w:w="1710" w:type="dxa"/>
          </w:tcPr>
          <w:p w14:paraId="6EBBC344" w14:textId="77777777" w:rsidR="00413EB3" w:rsidRDefault="00413EB3">
            <w:pPr>
              <w:cnfStyle w:val="000000000000" w:firstRow="0" w:lastRow="0" w:firstColumn="0" w:lastColumn="0" w:oddVBand="0" w:evenVBand="0" w:oddHBand="0" w:evenHBand="0" w:firstRowFirstColumn="0" w:firstRowLastColumn="0" w:lastRowFirstColumn="0" w:lastRowLastColumn="0"/>
            </w:pPr>
            <w:r>
              <w:t>76%</w:t>
            </w:r>
          </w:p>
        </w:tc>
        <w:tc>
          <w:tcPr>
            <w:tcW w:w="1980" w:type="dxa"/>
          </w:tcPr>
          <w:p w14:paraId="343EF6D3" w14:textId="77777777" w:rsidR="00413EB3" w:rsidRDefault="00413EB3">
            <w:pPr>
              <w:cnfStyle w:val="000000000000" w:firstRow="0" w:lastRow="0" w:firstColumn="0" w:lastColumn="0" w:oddVBand="0" w:evenVBand="0" w:oddHBand="0" w:evenHBand="0" w:firstRowFirstColumn="0" w:firstRowLastColumn="0" w:lastRowFirstColumn="0" w:lastRowLastColumn="0"/>
            </w:pPr>
            <w:r>
              <w:t>70%</w:t>
            </w:r>
          </w:p>
        </w:tc>
      </w:tr>
      <w:tr w:rsidR="00413EB3" w14:paraId="2878CDD1" w14:textId="77777777" w:rsidTr="00663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B8C9AD5" w14:textId="77777777" w:rsidR="00413EB3" w:rsidRDefault="00413EB3">
            <w:r>
              <w:t>Traffic congestion</w:t>
            </w:r>
          </w:p>
        </w:tc>
        <w:tc>
          <w:tcPr>
            <w:tcW w:w="1275" w:type="dxa"/>
          </w:tcPr>
          <w:p w14:paraId="7C1C9EF0" w14:textId="77777777" w:rsidR="00413EB3" w:rsidRDefault="00413EB3">
            <w:pPr>
              <w:cnfStyle w:val="000000100000" w:firstRow="0" w:lastRow="0" w:firstColumn="0" w:lastColumn="0" w:oddVBand="0" w:evenVBand="0" w:oddHBand="1" w:evenHBand="0" w:firstRowFirstColumn="0" w:firstRowLastColumn="0" w:lastRowFirstColumn="0" w:lastRowLastColumn="0"/>
            </w:pPr>
            <w:r>
              <w:t>37%</w:t>
            </w:r>
          </w:p>
        </w:tc>
        <w:tc>
          <w:tcPr>
            <w:tcW w:w="1710" w:type="dxa"/>
          </w:tcPr>
          <w:p w14:paraId="710A5AEA" w14:textId="77777777" w:rsidR="00413EB3" w:rsidRDefault="00413EB3">
            <w:pPr>
              <w:cnfStyle w:val="000000100000" w:firstRow="0" w:lastRow="0" w:firstColumn="0" w:lastColumn="0" w:oddVBand="0" w:evenVBand="0" w:oddHBand="1" w:evenHBand="0" w:firstRowFirstColumn="0" w:firstRowLastColumn="0" w:lastRowFirstColumn="0" w:lastRowLastColumn="0"/>
            </w:pPr>
            <w:r>
              <w:t>51%</w:t>
            </w:r>
          </w:p>
        </w:tc>
        <w:tc>
          <w:tcPr>
            <w:tcW w:w="1980" w:type="dxa"/>
          </w:tcPr>
          <w:p w14:paraId="354EBB6B" w14:textId="77777777" w:rsidR="00413EB3" w:rsidRDefault="00413EB3">
            <w:pPr>
              <w:cnfStyle w:val="000000100000" w:firstRow="0" w:lastRow="0" w:firstColumn="0" w:lastColumn="0" w:oddVBand="0" w:evenVBand="0" w:oddHBand="1" w:evenHBand="0" w:firstRowFirstColumn="0" w:firstRowLastColumn="0" w:lastRowFirstColumn="0" w:lastRowLastColumn="0"/>
            </w:pPr>
            <w:r>
              <w:t>45%</w:t>
            </w:r>
          </w:p>
        </w:tc>
      </w:tr>
      <w:tr w:rsidR="00413EB3" w14:paraId="1A262B5D" w14:textId="77777777" w:rsidTr="0066356A">
        <w:tc>
          <w:tcPr>
            <w:cnfStyle w:val="001000000000" w:firstRow="0" w:lastRow="0" w:firstColumn="1" w:lastColumn="0" w:oddVBand="0" w:evenVBand="0" w:oddHBand="0" w:evenHBand="0" w:firstRowFirstColumn="0" w:firstRowLastColumn="0" w:lastRowFirstColumn="0" w:lastRowLastColumn="0"/>
            <w:tcW w:w="1870" w:type="dxa"/>
          </w:tcPr>
          <w:p w14:paraId="3D7C8B84" w14:textId="77777777" w:rsidR="00413EB3" w:rsidRDefault="00413EB3">
            <w:r>
              <w:t>Quality of Life</w:t>
            </w:r>
          </w:p>
        </w:tc>
        <w:tc>
          <w:tcPr>
            <w:tcW w:w="1275" w:type="dxa"/>
          </w:tcPr>
          <w:p w14:paraId="6E011075" w14:textId="77777777" w:rsidR="00413EB3" w:rsidRDefault="00413EB3">
            <w:pPr>
              <w:cnfStyle w:val="000000000000" w:firstRow="0" w:lastRow="0" w:firstColumn="0" w:lastColumn="0" w:oddVBand="0" w:evenVBand="0" w:oddHBand="0" w:evenHBand="0" w:firstRowFirstColumn="0" w:firstRowLastColumn="0" w:lastRowFirstColumn="0" w:lastRowLastColumn="0"/>
            </w:pPr>
            <w:r>
              <w:t>32%</w:t>
            </w:r>
          </w:p>
        </w:tc>
        <w:tc>
          <w:tcPr>
            <w:tcW w:w="1710" w:type="dxa"/>
          </w:tcPr>
          <w:p w14:paraId="39E1399D" w14:textId="77777777" w:rsidR="00413EB3" w:rsidRDefault="00413EB3">
            <w:pPr>
              <w:cnfStyle w:val="000000000000" w:firstRow="0" w:lastRow="0" w:firstColumn="0" w:lastColumn="0" w:oddVBand="0" w:evenVBand="0" w:oddHBand="0" w:evenHBand="0" w:firstRowFirstColumn="0" w:firstRowLastColumn="0" w:lastRowFirstColumn="0" w:lastRowLastColumn="0"/>
            </w:pPr>
            <w:r>
              <w:t>45%</w:t>
            </w:r>
          </w:p>
        </w:tc>
        <w:tc>
          <w:tcPr>
            <w:tcW w:w="1980" w:type="dxa"/>
          </w:tcPr>
          <w:p w14:paraId="106BFF19" w14:textId="77777777" w:rsidR="00413EB3" w:rsidRDefault="00413EB3">
            <w:pPr>
              <w:cnfStyle w:val="000000000000" w:firstRow="0" w:lastRow="0" w:firstColumn="0" w:lastColumn="0" w:oddVBand="0" w:evenVBand="0" w:oddHBand="0" w:evenHBand="0" w:firstRowFirstColumn="0" w:firstRowLastColumn="0" w:lastRowFirstColumn="0" w:lastRowLastColumn="0"/>
            </w:pPr>
            <w:r>
              <w:t>52%</w:t>
            </w:r>
          </w:p>
        </w:tc>
      </w:tr>
      <w:tr w:rsidR="00413EB3" w14:paraId="4CE2FC2A" w14:textId="77777777" w:rsidTr="00663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55A5AFD" w14:textId="77777777" w:rsidR="00413EB3" w:rsidRDefault="00413EB3">
            <w:r>
              <w:t xml:space="preserve">Amount of Taxes </w:t>
            </w:r>
          </w:p>
        </w:tc>
        <w:tc>
          <w:tcPr>
            <w:tcW w:w="1275" w:type="dxa"/>
          </w:tcPr>
          <w:p w14:paraId="36616B56" w14:textId="77777777" w:rsidR="00413EB3" w:rsidRDefault="00413EB3">
            <w:pPr>
              <w:cnfStyle w:val="000000100000" w:firstRow="0" w:lastRow="0" w:firstColumn="0" w:lastColumn="0" w:oddVBand="0" w:evenVBand="0" w:oddHBand="1" w:evenHBand="0" w:firstRowFirstColumn="0" w:firstRowLastColumn="0" w:lastRowFirstColumn="0" w:lastRowLastColumn="0"/>
            </w:pPr>
            <w:r>
              <w:t>28%</w:t>
            </w:r>
          </w:p>
        </w:tc>
        <w:tc>
          <w:tcPr>
            <w:tcW w:w="1710" w:type="dxa"/>
          </w:tcPr>
          <w:p w14:paraId="525F8A66" w14:textId="77777777" w:rsidR="00413EB3" w:rsidRDefault="00413EB3">
            <w:pPr>
              <w:cnfStyle w:val="000000100000" w:firstRow="0" w:lastRow="0" w:firstColumn="0" w:lastColumn="0" w:oddVBand="0" w:evenVBand="0" w:oddHBand="1" w:evenHBand="0" w:firstRowFirstColumn="0" w:firstRowLastColumn="0" w:lastRowFirstColumn="0" w:lastRowLastColumn="0"/>
            </w:pPr>
            <w:r>
              <w:t>41%</w:t>
            </w:r>
          </w:p>
        </w:tc>
        <w:tc>
          <w:tcPr>
            <w:tcW w:w="1980" w:type="dxa"/>
          </w:tcPr>
          <w:p w14:paraId="364D41D3" w14:textId="77777777" w:rsidR="00413EB3" w:rsidRDefault="00413EB3">
            <w:pPr>
              <w:cnfStyle w:val="000000100000" w:firstRow="0" w:lastRow="0" w:firstColumn="0" w:lastColumn="0" w:oddVBand="0" w:evenVBand="0" w:oddHBand="1" w:evenHBand="0" w:firstRowFirstColumn="0" w:firstRowLastColumn="0" w:lastRowFirstColumn="0" w:lastRowLastColumn="0"/>
            </w:pPr>
            <w:r>
              <w:t>50%</w:t>
            </w:r>
          </w:p>
        </w:tc>
      </w:tr>
    </w:tbl>
    <w:p w14:paraId="3AF0C028" w14:textId="77777777" w:rsidR="00D853BF" w:rsidRDefault="00934350" w:rsidP="00413EB3">
      <w:r>
        <w:lastRenderedPageBreak/>
        <w:t xml:space="preserve">The poll conducted by the Silicon Valley Leadership Group in partnership with </w:t>
      </w:r>
      <w:r w:rsidR="00D853BF">
        <w:t xml:space="preserve">the </w:t>
      </w:r>
      <w:r>
        <w:t xml:space="preserve">Bay Area News Group surveyed </w:t>
      </w:r>
      <w:r w:rsidR="00FD09AF" w:rsidRPr="006A1858">
        <w:rPr>
          <w:rFonts w:cs="Arial"/>
          <w:color w:val="222222"/>
          <w:shd w:val="clear" w:color="auto" w:fill="FFFFFF"/>
        </w:rPr>
        <w:t>1,568</w:t>
      </w:r>
      <w:r>
        <w:t xml:space="preserve"> potential voters in Alameda, Contra Costa, San Francisco, San Mateo and Santa Clara counties from February 14-24</w:t>
      </w:r>
      <w:r w:rsidRPr="00934350">
        <w:rPr>
          <w:vertAlign w:val="superscript"/>
        </w:rPr>
        <w:t>th</w:t>
      </w:r>
      <w:r>
        <w:t xml:space="preserve">.  </w:t>
      </w:r>
    </w:p>
    <w:p w14:paraId="4108A3C2" w14:textId="77777777" w:rsidR="00D853BF" w:rsidRDefault="00D853BF" w:rsidP="00413EB3"/>
    <w:p w14:paraId="037F3288" w14:textId="77777777" w:rsidR="00201A9F" w:rsidRPr="0066356A" w:rsidRDefault="00201A9F" w:rsidP="00413EB3">
      <w:pPr>
        <w:rPr>
          <w:b/>
        </w:rPr>
      </w:pPr>
      <w:r w:rsidRPr="0066356A">
        <w:rPr>
          <w:b/>
        </w:rPr>
        <w:t>Figure 2: Perceptions by County</w:t>
      </w:r>
    </w:p>
    <w:tbl>
      <w:tblPr>
        <w:tblStyle w:val="GridTable2-Accent5"/>
        <w:tblW w:w="0" w:type="auto"/>
        <w:tblLook w:val="04A0" w:firstRow="1" w:lastRow="0" w:firstColumn="1" w:lastColumn="0" w:noHBand="0" w:noVBand="1"/>
      </w:tblPr>
      <w:tblGrid>
        <w:gridCol w:w="1335"/>
        <w:gridCol w:w="1090"/>
        <w:gridCol w:w="1170"/>
        <w:gridCol w:w="1440"/>
        <w:gridCol w:w="630"/>
        <w:gridCol w:w="1260"/>
        <w:gridCol w:w="810"/>
      </w:tblGrid>
      <w:tr w:rsidR="00201A9F" w14:paraId="4E9F8B53" w14:textId="77777777" w:rsidTr="00663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1C231D8" w14:textId="77777777" w:rsidR="00201A9F" w:rsidRDefault="00201A9F" w:rsidP="00413EB3">
            <w:r>
              <w:t>Position</w:t>
            </w:r>
          </w:p>
        </w:tc>
        <w:tc>
          <w:tcPr>
            <w:tcW w:w="1090" w:type="dxa"/>
          </w:tcPr>
          <w:p w14:paraId="51FF0C46" w14:textId="77777777" w:rsidR="00201A9F" w:rsidRDefault="00201A9F" w:rsidP="00413EB3">
            <w:pPr>
              <w:cnfStyle w:val="100000000000" w:firstRow="1" w:lastRow="0" w:firstColumn="0" w:lastColumn="0" w:oddVBand="0" w:evenVBand="0" w:oddHBand="0" w:evenHBand="0" w:firstRowFirstColumn="0" w:firstRowLastColumn="0" w:lastRowFirstColumn="0" w:lastRowLastColumn="0"/>
            </w:pPr>
            <w:r>
              <w:t xml:space="preserve">All Voters </w:t>
            </w:r>
          </w:p>
        </w:tc>
        <w:tc>
          <w:tcPr>
            <w:tcW w:w="1170" w:type="dxa"/>
          </w:tcPr>
          <w:p w14:paraId="4086CD58" w14:textId="77777777" w:rsidR="00201A9F" w:rsidRDefault="00201A9F" w:rsidP="00413EB3">
            <w:pPr>
              <w:cnfStyle w:val="100000000000" w:firstRow="1" w:lastRow="0" w:firstColumn="0" w:lastColumn="0" w:oddVBand="0" w:evenVBand="0" w:oddHBand="0" w:evenHBand="0" w:firstRowFirstColumn="0" w:firstRowLastColumn="0" w:lastRowFirstColumn="0" w:lastRowLastColumn="0"/>
            </w:pPr>
            <w:r>
              <w:t>Alameda County</w:t>
            </w:r>
          </w:p>
        </w:tc>
        <w:tc>
          <w:tcPr>
            <w:tcW w:w="1440" w:type="dxa"/>
          </w:tcPr>
          <w:p w14:paraId="0E8082BC" w14:textId="77777777" w:rsidR="00201A9F" w:rsidRDefault="00201A9F" w:rsidP="00413EB3">
            <w:pPr>
              <w:cnfStyle w:val="100000000000" w:firstRow="1" w:lastRow="0" w:firstColumn="0" w:lastColumn="0" w:oddVBand="0" w:evenVBand="0" w:oddHBand="0" w:evenHBand="0" w:firstRowFirstColumn="0" w:firstRowLastColumn="0" w:lastRowFirstColumn="0" w:lastRowLastColumn="0"/>
            </w:pPr>
            <w:r>
              <w:t>Contra Costa County</w:t>
            </w:r>
          </w:p>
        </w:tc>
        <w:tc>
          <w:tcPr>
            <w:tcW w:w="630" w:type="dxa"/>
          </w:tcPr>
          <w:p w14:paraId="732430FF" w14:textId="77777777" w:rsidR="00201A9F" w:rsidRDefault="00201A9F" w:rsidP="00413EB3">
            <w:pPr>
              <w:cnfStyle w:val="100000000000" w:firstRow="1" w:lastRow="0" w:firstColumn="0" w:lastColumn="0" w:oddVBand="0" w:evenVBand="0" w:oddHBand="0" w:evenHBand="0" w:firstRowFirstColumn="0" w:firstRowLastColumn="0" w:lastRowFirstColumn="0" w:lastRowLastColumn="0"/>
            </w:pPr>
            <w:r>
              <w:t>SF</w:t>
            </w:r>
          </w:p>
        </w:tc>
        <w:tc>
          <w:tcPr>
            <w:tcW w:w="1260" w:type="dxa"/>
          </w:tcPr>
          <w:p w14:paraId="4E78AA83" w14:textId="77777777" w:rsidR="00201A9F" w:rsidRDefault="00201A9F" w:rsidP="00413EB3">
            <w:pPr>
              <w:cnfStyle w:val="100000000000" w:firstRow="1" w:lastRow="0" w:firstColumn="0" w:lastColumn="0" w:oddVBand="0" w:evenVBand="0" w:oddHBand="0" w:evenHBand="0" w:firstRowFirstColumn="0" w:firstRowLastColumn="0" w:lastRowFirstColumn="0" w:lastRowLastColumn="0"/>
            </w:pPr>
            <w:r>
              <w:t>San Mateo</w:t>
            </w:r>
          </w:p>
        </w:tc>
        <w:tc>
          <w:tcPr>
            <w:tcW w:w="810" w:type="dxa"/>
          </w:tcPr>
          <w:p w14:paraId="06323172" w14:textId="77777777" w:rsidR="00201A9F" w:rsidRDefault="00201A9F" w:rsidP="00413EB3">
            <w:pPr>
              <w:cnfStyle w:val="100000000000" w:firstRow="1" w:lastRow="0" w:firstColumn="0" w:lastColumn="0" w:oddVBand="0" w:evenVBand="0" w:oddHBand="0" w:evenHBand="0" w:firstRowFirstColumn="0" w:firstRowLastColumn="0" w:lastRowFirstColumn="0" w:lastRowLastColumn="0"/>
            </w:pPr>
            <w:r>
              <w:t xml:space="preserve">Santa Clara </w:t>
            </w:r>
          </w:p>
        </w:tc>
      </w:tr>
      <w:tr w:rsidR="00201A9F" w14:paraId="4C2D68C8" w14:textId="77777777" w:rsidTr="00663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59B0CFBC" w14:textId="77777777" w:rsidR="00201A9F" w:rsidRDefault="00201A9F" w:rsidP="00413EB3">
            <w:r>
              <w:t>Total Better</w:t>
            </w:r>
          </w:p>
        </w:tc>
        <w:tc>
          <w:tcPr>
            <w:tcW w:w="1090" w:type="dxa"/>
          </w:tcPr>
          <w:p w14:paraId="6F1E3E4E"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7%</w:t>
            </w:r>
          </w:p>
        </w:tc>
        <w:tc>
          <w:tcPr>
            <w:tcW w:w="1170" w:type="dxa"/>
          </w:tcPr>
          <w:p w14:paraId="76491C76"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7%</w:t>
            </w:r>
          </w:p>
        </w:tc>
        <w:tc>
          <w:tcPr>
            <w:tcW w:w="1440" w:type="dxa"/>
          </w:tcPr>
          <w:p w14:paraId="6DD5CAE2"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4%</w:t>
            </w:r>
          </w:p>
        </w:tc>
        <w:tc>
          <w:tcPr>
            <w:tcW w:w="630" w:type="dxa"/>
          </w:tcPr>
          <w:p w14:paraId="3DD52F38"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6%</w:t>
            </w:r>
          </w:p>
        </w:tc>
        <w:tc>
          <w:tcPr>
            <w:tcW w:w="1260" w:type="dxa"/>
          </w:tcPr>
          <w:p w14:paraId="36815F92"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10%</w:t>
            </w:r>
          </w:p>
        </w:tc>
        <w:tc>
          <w:tcPr>
            <w:tcW w:w="810" w:type="dxa"/>
          </w:tcPr>
          <w:p w14:paraId="1C3C30EB"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9%</w:t>
            </w:r>
          </w:p>
        </w:tc>
      </w:tr>
      <w:tr w:rsidR="00201A9F" w14:paraId="2CE13172" w14:textId="77777777" w:rsidTr="0066356A">
        <w:tc>
          <w:tcPr>
            <w:cnfStyle w:val="001000000000" w:firstRow="0" w:lastRow="0" w:firstColumn="1" w:lastColumn="0" w:oddVBand="0" w:evenVBand="0" w:oddHBand="0" w:evenHBand="0" w:firstRowFirstColumn="0" w:firstRowLastColumn="0" w:lastRowFirstColumn="0" w:lastRowLastColumn="0"/>
            <w:tcW w:w="1335" w:type="dxa"/>
          </w:tcPr>
          <w:p w14:paraId="0519B074" w14:textId="77777777" w:rsidR="00201A9F" w:rsidRDefault="00201A9F" w:rsidP="00413EB3">
            <w:r>
              <w:t>Stayed the Same</w:t>
            </w:r>
          </w:p>
        </w:tc>
        <w:tc>
          <w:tcPr>
            <w:tcW w:w="1090" w:type="dxa"/>
          </w:tcPr>
          <w:p w14:paraId="459305EB" w14:textId="77777777" w:rsidR="00201A9F" w:rsidRDefault="00201A9F" w:rsidP="00413EB3">
            <w:pPr>
              <w:cnfStyle w:val="000000000000" w:firstRow="0" w:lastRow="0" w:firstColumn="0" w:lastColumn="0" w:oddVBand="0" w:evenVBand="0" w:oddHBand="0" w:evenHBand="0" w:firstRowFirstColumn="0" w:firstRowLastColumn="0" w:lastRowFirstColumn="0" w:lastRowLastColumn="0"/>
            </w:pPr>
            <w:r>
              <w:t>23%</w:t>
            </w:r>
          </w:p>
        </w:tc>
        <w:tc>
          <w:tcPr>
            <w:tcW w:w="1170" w:type="dxa"/>
          </w:tcPr>
          <w:p w14:paraId="3456CF8E" w14:textId="77777777" w:rsidR="00201A9F" w:rsidRDefault="00201A9F" w:rsidP="00413EB3">
            <w:pPr>
              <w:cnfStyle w:val="000000000000" w:firstRow="0" w:lastRow="0" w:firstColumn="0" w:lastColumn="0" w:oddVBand="0" w:evenVBand="0" w:oddHBand="0" w:evenHBand="0" w:firstRowFirstColumn="0" w:firstRowLastColumn="0" w:lastRowFirstColumn="0" w:lastRowLastColumn="0"/>
            </w:pPr>
            <w:r>
              <w:t>22%</w:t>
            </w:r>
          </w:p>
        </w:tc>
        <w:tc>
          <w:tcPr>
            <w:tcW w:w="1440" w:type="dxa"/>
          </w:tcPr>
          <w:p w14:paraId="0165437F" w14:textId="77777777" w:rsidR="00201A9F" w:rsidRDefault="00201A9F" w:rsidP="00413EB3">
            <w:pPr>
              <w:cnfStyle w:val="000000000000" w:firstRow="0" w:lastRow="0" w:firstColumn="0" w:lastColumn="0" w:oddVBand="0" w:evenVBand="0" w:oddHBand="0" w:evenHBand="0" w:firstRowFirstColumn="0" w:firstRowLastColumn="0" w:lastRowFirstColumn="0" w:lastRowLastColumn="0"/>
            </w:pPr>
            <w:r>
              <w:t>28%</w:t>
            </w:r>
          </w:p>
        </w:tc>
        <w:tc>
          <w:tcPr>
            <w:tcW w:w="630" w:type="dxa"/>
          </w:tcPr>
          <w:p w14:paraId="24DB0880" w14:textId="77777777" w:rsidR="00201A9F" w:rsidRDefault="00201A9F" w:rsidP="00413EB3">
            <w:pPr>
              <w:cnfStyle w:val="000000000000" w:firstRow="0" w:lastRow="0" w:firstColumn="0" w:lastColumn="0" w:oddVBand="0" w:evenVBand="0" w:oddHBand="0" w:evenHBand="0" w:firstRowFirstColumn="0" w:firstRowLastColumn="0" w:lastRowFirstColumn="0" w:lastRowLastColumn="0"/>
            </w:pPr>
            <w:r>
              <w:t>17%</w:t>
            </w:r>
          </w:p>
        </w:tc>
        <w:tc>
          <w:tcPr>
            <w:tcW w:w="1260" w:type="dxa"/>
          </w:tcPr>
          <w:p w14:paraId="01E1D42C" w14:textId="77777777" w:rsidR="00201A9F" w:rsidRDefault="00201A9F" w:rsidP="00413EB3">
            <w:pPr>
              <w:cnfStyle w:val="000000000000" w:firstRow="0" w:lastRow="0" w:firstColumn="0" w:lastColumn="0" w:oddVBand="0" w:evenVBand="0" w:oddHBand="0" w:evenHBand="0" w:firstRowFirstColumn="0" w:firstRowLastColumn="0" w:lastRowFirstColumn="0" w:lastRowLastColumn="0"/>
            </w:pPr>
            <w:r>
              <w:t>21%</w:t>
            </w:r>
          </w:p>
        </w:tc>
        <w:tc>
          <w:tcPr>
            <w:tcW w:w="810" w:type="dxa"/>
          </w:tcPr>
          <w:p w14:paraId="4F954768" w14:textId="77777777" w:rsidR="00201A9F" w:rsidRDefault="00201A9F" w:rsidP="00413EB3">
            <w:pPr>
              <w:cnfStyle w:val="000000000000" w:firstRow="0" w:lastRow="0" w:firstColumn="0" w:lastColumn="0" w:oddVBand="0" w:evenVBand="0" w:oddHBand="0" w:evenHBand="0" w:firstRowFirstColumn="0" w:firstRowLastColumn="0" w:lastRowFirstColumn="0" w:lastRowLastColumn="0"/>
            </w:pPr>
            <w:r>
              <w:t>26%</w:t>
            </w:r>
          </w:p>
        </w:tc>
      </w:tr>
      <w:tr w:rsidR="00201A9F" w14:paraId="330CDFA3" w14:textId="77777777" w:rsidTr="00663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5632AE3E" w14:textId="77777777" w:rsidR="00201A9F" w:rsidRDefault="00201A9F" w:rsidP="00413EB3">
            <w:r>
              <w:t>Total Worse</w:t>
            </w:r>
          </w:p>
        </w:tc>
        <w:tc>
          <w:tcPr>
            <w:tcW w:w="1090" w:type="dxa"/>
          </w:tcPr>
          <w:p w14:paraId="71535377"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65%</w:t>
            </w:r>
          </w:p>
        </w:tc>
        <w:tc>
          <w:tcPr>
            <w:tcW w:w="1170" w:type="dxa"/>
          </w:tcPr>
          <w:p w14:paraId="24B5FF5B"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67%</w:t>
            </w:r>
          </w:p>
        </w:tc>
        <w:tc>
          <w:tcPr>
            <w:tcW w:w="1440" w:type="dxa"/>
          </w:tcPr>
          <w:p w14:paraId="75121B19"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62%</w:t>
            </w:r>
          </w:p>
        </w:tc>
        <w:tc>
          <w:tcPr>
            <w:tcW w:w="630" w:type="dxa"/>
          </w:tcPr>
          <w:p w14:paraId="52A69481"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72%</w:t>
            </w:r>
          </w:p>
        </w:tc>
        <w:tc>
          <w:tcPr>
            <w:tcW w:w="1260" w:type="dxa"/>
          </w:tcPr>
          <w:p w14:paraId="5B9BED9B"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63%</w:t>
            </w:r>
          </w:p>
        </w:tc>
        <w:tc>
          <w:tcPr>
            <w:tcW w:w="810" w:type="dxa"/>
          </w:tcPr>
          <w:p w14:paraId="07F73DDC" w14:textId="77777777" w:rsidR="00201A9F" w:rsidRDefault="00201A9F" w:rsidP="00413EB3">
            <w:pPr>
              <w:cnfStyle w:val="000000100000" w:firstRow="0" w:lastRow="0" w:firstColumn="0" w:lastColumn="0" w:oddVBand="0" w:evenVBand="0" w:oddHBand="1" w:evenHBand="0" w:firstRowFirstColumn="0" w:firstRowLastColumn="0" w:lastRowFirstColumn="0" w:lastRowLastColumn="0"/>
            </w:pPr>
            <w:r>
              <w:t>60%</w:t>
            </w:r>
          </w:p>
        </w:tc>
      </w:tr>
    </w:tbl>
    <w:p w14:paraId="0FEC4B55" w14:textId="77777777" w:rsidR="00201A9F" w:rsidRDefault="00201A9F" w:rsidP="00413EB3"/>
    <w:p w14:paraId="7712AA8E" w14:textId="77777777" w:rsidR="00326005" w:rsidRDefault="00A2388F" w:rsidP="00413EB3">
      <w:r>
        <w:t xml:space="preserve">The perceptions of what currently ails the Bay Area is </w:t>
      </w:r>
      <w:proofErr w:type="gramStart"/>
      <w:r>
        <w:t>fairly consistent</w:t>
      </w:r>
      <w:proofErr w:type="gramEnd"/>
      <w:r>
        <w:t xml:space="preserve"> across counties with 83 percent saying the cost of housing is the most serious problem, followed by cost of living at 81 percent and, perhaps surprisingly, homelessness comes in third at 79 percent, followed by traffic congestion at 76. In fifth </w:t>
      </w:r>
      <w:r w:rsidR="00326005">
        <w:t>place is in</w:t>
      </w:r>
      <w:r w:rsidR="0066356A">
        <w:t>creasing wildfires at 70 percent. Howeve</w:t>
      </w:r>
      <w:r w:rsidR="00154E51">
        <w:t xml:space="preserve">r, voters are divided on if </w:t>
      </w:r>
      <w:r w:rsidR="0066356A">
        <w:t>rapid growth in the Bay</w:t>
      </w:r>
      <w:r w:rsidR="00154E51">
        <w:t xml:space="preserve"> has been positive or nega</w:t>
      </w:r>
      <w:r>
        <w:t xml:space="preserve">tive, with a plurality of 33 </w:t>
      </w:r>
      <w:r w:rsidR="00154E51">
        <w:t>percent viewing as positive.</w:t>
      </w:r>
    </w:p>
    <w:p w14:paraId="22261002" w14:textId="77777777" w:rsidR="0066356A" w:rsidRPr="006A1858" w:rsidRDefault="006A1858" w:rsidP="00413EB3">
      <w:r w:rsidRPr="006A1858">
        <w:t xml:space="preserve">To </w:t>
      </w:r>
      <w:r w:rsidR="0066356A" w:rsidRPr="006A1858">
        <w:t xml:space="preserve">learn </w:t>
      </w:r>
      <w:proofErr w:type="gramStart"/>
      <w:r w:rsidR="0066356A" w:rsidRPr="006A1858">
        <w:t>additional  findings</w:t>
      </w:r>
      <w:proofErr w:type="gramEnd"/>
      <w:r w:rsidR="0066356A" w:rsidRPr="006A1858">
        <w:t xml:space="preserve"> and discuss more  in-depth demographic information contact Pam Kelly, senior communications manager at </w:t>
      </w:r>
      <w:hyperlink r:id="rId9" w:history="1">
        <w:r w:rsidR="0066356A" w:rsidRPr="006A1858">
          <w:rPr>
            <w:rStyle w:val="Hyperlink"/>
          </w:rPr>
          <w:t>pkelly@svlg.org</w:t>
        </w:r>
      </w:hyperlink>
      <w:r w:rsidR="0066356A" w:rsidRPr="006A1858">
        <w:t xml:space="preserve">. </w:t>
      </w:r>
    </w:p>
    <w:p w14:paraId="2940F179" w14:textId="77777777" w:rsidR="006A1858" w:rsidRPr="006A1858" w:rsidRDefault="006A1858" w:rsidP="006A1858">
      <w:r w:rsidRPr="006A1858">
        <w:rPr>
          <w:rFonts w:cs="Arial"/>
          <w:color w:val="222222"/>
          <w:shd w:val="clear" w:color="auto" w:fill="FFFFFF"/>
        </w:rPr>
        <w:t xml:space="preserve">The poll of 1,568 registered voters in Alameda, Contra Costa, Santa Clara, San Mateo and San Francisco counties, was conducted by Fairbank, Maslin, </w:t>
      </w:r>
      <w:proofErr w:type="spellStart"/>
      <w:r w:rsidRPr="006A1858">
        <w:rPr>
          <w:rFonts w:cs="Arial"/>
          <w:color w:val="222222"/>
          <w:shd w:val="clear" w:color="auto" w:fill="FFFFFF"/>
        </w:rPr>
        <w:t>Maullin</w:t>
      </w:r>
      <w:proofErr w:type="spellEnd"/>
      <w:r w:rsidRPr="006A1858">
        <w:rPr>
          <w:rFonts w:cs="Arial"/>
          <w:color w:val="222222"/>
          <w:shd w:val="clear" w:color="auto" w:fill="FFFFFF"/>
        </w:rPr>
        <w:t>, Metz and Associates for the Silicon Valley Leadership Group and Bay Area News Group. The poll, conducted Feb. 14-24, has a margin of error of +/- 3.1 percent.</w:t>
      </w:r>
    </w:p>
    <w:p w14:paraId="3B7C7324" w14:textId="77777777" w:rsidR="006A1858" w:rsidRPr="00C70091" w:rsidRDefault="00922424" w:rsidP="006A1858">
      <w:pPr>
        <w:shd w:val="clear" w:color="auto" w:fill="FFFFFF"/>
        <w:spacing w:line="253" w:lineRule="atLeast"/>
        <w:rPr>
          <w:rFonts w:ascii="Calibri" w:eastAsia="Times New Roman" w:hAnsi="Calibri" w:cs="Times New Roman"/>
          <w:color w:val="333333"/>
        </w:rPr>
      </w:pPr>
      <w:r>
        <w:t xml:space="preserve"> </w:t>
      </w:r>
      <w:r w:rsidR="006A1858" w:rsidRPr="00C70091">
        <w:rPr>
          <w:rFonts w:ascii="Calibri" w:eastAsia="Times New Roman" w:hAnsi="Calibri" w:cs="Times New Roman"/>
          <w:b/>
          <w:bCs/>
          <w:color w:val="333333"/>
        </w:rPr>
        <w:t xml:space="preserve">About </w:t>
      </w:r>
      <w:r w:rsidR="00154E51">
        <w:rPr>
          <w:rFonts w:ascii="Calibri" w:eastAsia="Times New Roman" w:hAnsi="Calibri" w:cs="Times New Roman"/>
          <w:b/>
          <w:bCs/>
          <w:color w:val="333333"/>
        </w:rPr>
        <w:t xml:space="preserve">the </w:t>
      </w:r>
      <w:r w:rsidR="006A1858" w:rsidRPr="00C70091">
        <w:rPr>
          <w:rFonts w:ascii="Calibri" w:eastAsia="Times New Roman" w:hAnsi="Calibri" w:cs="Times New Roman"/>
          <w:b/>
          <w:bCs/>
          <w:color w:val="333333"/>
        </w:rPr>
        <w:t>Silicon Valley Leadership Group</w:t>
      </w:r>
    </w:p>
    <w:p w14:paraId="305A1128" w14:textId="77777777" w:rsidR="006A1858" w:rsidRDefault="006A1858" w:rsidP="006A1858">
      <w:r w:rsidRPr="00C70091">
        <w:rPr>
          <w:rFonts w:ascii="Calibri" w:eastAsia="Times New Roman" w:hAnsi="Calibri" w:cs="Times New Roman"/>
          <w:color w:val="222222"/>
          <w:shd w:val="clear" w:color="auto" w:fill="FFFFFF"/>
        </w:rPr>
        <w:t xml:space="preserve">The Silicon Valley Leadership Group, founded in 1978 by David Packard of Hewlett-Packard, </w:t>
      </w:r>
      <w:r>
        <w:rPr>
          <w:rFonts w:ascii="Calibri" w:eastAsia="Times New Roman" w:hAnsi="Calibri" w:cs="Times New Roman"/>
          <w:color w:val="222222"/>
          <w:shd w:val="clear" w:color="auto" w:fill="FFFFFF"/>
        </w:rPr>
        <w:t xml:space="preserve">represents 330 </w:t>
      </w:r>
      <w:r w:rsidRPr="00C70091">
        <w:rPr>
          <w:rFonts w:ascii="Calibri" w:eastAsia="Times New Roman" w:hAnsi="Calibri" w:cs="Times New Roman"/>
          <w:color w:val="222222"/>
          <w:shd w:val="clear" w:color="auto" w:fill="FFFFFF"/>
        </w:rPr>
        <w:t>of Silicon Valley’s most respected employers on issues, programs and campaigns that affect the economic health and quality of life in Silicon Valley including energy, transportation, education, housing, health care, tax policies, economic vitality and the environment. The Leadership Group members collectively provide nearly one of every three private sector jobs in Silicon Valley and generate more than $3 trillion in annual revenue.</w:t>
      </w:r>
    </w:p>
    <w:p w14:paraId="0A5106A6" w14:textId="77777777" w:rsidR="0066356A" w:rsidRDefault="0066356A" w:rsidP="00413EB3"/>
    <w:sectPr w:rsidR="006635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0D2B6" w14:textId="77777777" w:rsidR="00FE11F7" w:rsidRDefault="00FE11F7" w:rsidP="00FD09AF">
      <w:pPr>
        <w:spacing w:after="0" w:line="240" w:lineRule="auto"/>
      </w:pPr>
      <w:r>
        <w:separator/>
      </w:r>
    </w:p>
  </w:endnote>
  <w:endnote w:type="continuationSeparator" w:id="0">
    <w:p w14:paraId="49B594D8" w14:textId="77777777" w:rsidR="00FE11F7" w:rsidRDefault="00FE11F7" w:rsidP="00FD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839798"/>
      <w:docPartObj>
        <w:docPartGallery w:val="Page Numbers (Bottom of Page)"/>
        <w:docPartUnique/>
      </w:docPartObj>
    </w:sdtPr>
    <w:sdtEndPr>
      <w:rPr>
        <w:noProof/>
      </w:rPr>
    </w:sdtEndPr>
    <w:sdtContent>
      <w:p w14:paraId="7729CA8D" w14:textId="77777777" w:rsidR="00FD09AF" w:rsidRDefault="00FD09AF">
        <w:pPr>
          <w:pStyle w:val="Footer"/>
          <w:jc w:val="right"/>
        </w:pPr>
        <w:r>
          <w:fldChar w:fldCharType="begin"/>
        </w:r>
        <w:r>
          <w:instrText xml:space="preserve"> PAGE   \* MERGEFORMAT </w:instrText>
        </w:r>
        <w:r>
          <w:fldChar w:fldCharType="separate"/>
        </w:r>
        <w:r w:rsidR="00A2388F">
          <w:rPr>
            <w:noProof/>
          </w:rPr>
          <w:t>2</w:t>
        </w:r>
        <w:r>
          <w:rPr>
            <w:noProof/>
          </w:rPr>
          <w:fldChar w:fldCharType="end"/>
        </w:r>
      </w:p>
    </w:sdtContent>
  </w:sdt>
  <w:p w14:paraId="194C6BC0" w14:textId="77777777" w:rsidR="00FD09AF" w:rsidRDefault="00FD0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28DB" w14:textId="77777777" w:rsidR="00FE11F7" w:rsidRDefault="00FE11F7" w:rsidP="00FD09AF">
      <w:pPr>
        <w:spacing w:after="0" w:line="240" w:lineRule="auto"/>
      </w:pPr>
      <w:r>
        <w:separator/>
      </w:r>
    </w:p>
  </w:footnote>
  <w:footnote w:type="continuationSeparator" w:id="0">
    <w:p w14:paraId="687B0969" w14:textId="77777777" w:rsidR="00FE11F7" w:rsidRDefault="00FE11F7" w:rsidP="00FD0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6E"/>
    <w:rsid w:val="000E2F38"/>
    <w:rsid w:val="00154E51"/>
    <w:rsid w:val="00201A9F"/>
    <w:rsid w:val="002F251C"/>
    <w:rsid w:val="002F645A"/>
    <w:rsid w:val="002F786E"/>
    <w:rsid w:val="00326005"/>
    <w:rsid w:val="00391B0E"/>
    <w:rsid w:val="003B781E"/>
    <w:rsid w:val="00413EB3"/>
    <w:rsid w:val="00483948"/>
    <w:rsid w:val="005F5BD7"/>
    <w:rsid w:val="0066356A"/>
    <w:rsid w:val="006A1858"/>
    <w:rsid w:val="00837E6F"/>
    <w:rsid w:val="00922424"/>
    <w:rsid w:val="00934350"/>
    <w:rsid w:val="00A2388F"/>
    <w:rsid w:val="00C55A8C"/>
    <w:rsid w:val="00CC0453"/>
    <w:rsid w:val="00D61311"/>
    <w:rsid w:val="00D853BF"/>
    <w:rsid w:val="00FD09AF"/>
    <w:rsid w:val="00FE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ED49"/>
  <w15:chartTrackingRefBased/>
  <w15:docId w15:val="{C73649E3-F93A-4F22-950B-E9084DE4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86E"/>
    <w:rPr>
      <w:color w:val="0563C1" w:themeColor="hyperlink"/>
      <w:u w:val="single"/>
    </w:rPr>
  </w:style>
  <w:style w:type="table" w:styleId="TableGrid">
    <w:name w:val="Table Grid"/>
    <w:basedOn w:val="TableNormal"/>
    <w:uiPriority w:val="39"/>
    <w:rsid w:val="0039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66356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FD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9AF"/>
  </w:style>
  <w:style w:type="paragraph" w:styleId="Footer">
    <w:name w:val="footer"/>
    <w:basedOn w:val="Normal"/>
    <w:link w:val="FooterChar"/>
    <w:uiPriority w:val="99"/>
    <w:unhideWhenUsed/>
    <w:rsid w:val="00FD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9AF"/>
  </w:style>
  <w:style w:type="paragraph" w:styleId="BalloonText">
    <w:name w:val="Balloon Text"/>
    <w:basedOn w:val="Normal"/>
    <w:link w:val="BalloonTextChar"/>
    <w:uiPriority w:val="99"/>
    <w:semiHidden/>
    <w:unhideWhenUsed/>
    <w:rsid w:val="00FD0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elly@svlg.org" TargetMode="External"/><Relationship Id="rId3" Type="http://schemas.openxmlformats.org/officeDocument/2006/relationships/webSettings" Target="webSettings.xml"/><Relationship Id="rId7" Type="http://schemas.openxmlformats.org/officeDocument/2006/relationships/hyperlink" Target="mailto:Kellis@svlg.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kelly@svl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2</cp:revision>
  <cp:lastPrinted>2019-03-21T17:44:00Z</cp:lastPrinted>
  <dcterms:created xsi:type="dcterms:W3CDTF">2019-04-13T18:57:00Z</dcterms:created>
  <dcterms:modified xsi:type="dcterms:W3CDTF">2019-04-13T18:57:00Z</dcterms:modified>
</cp:coreProperties>
</file>